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91EB4" w14:textId="6C8859A3" w:rsidR="00791F20" w:rsidRPr="008B5F88" w:rsidRDefault="00791F20" w:rsidP="00C45B00">
      <w:pPr>
        <w:spacing w:line="480" w:lineRule="auto"/>
        <w:jc w:val="center"/>
        <w:rPr>
          <w:rFonts w:ascii="Times New Roman" w:hAnsi="Times New Roman" w:cs="Times New Roman"/>
          <w:sz w:val="24"/>
          <w:szCs w:val="24"/>
        </w:rPr>
      </w:pPr>
    </w:p>
    <w:p w14:paraId="45E3C291" w14:textId="4DAC145C" w:rsidR="00C45B00" w:rsidRPr="008B5F88" w:rsidRDefault="00C45B00" w:rsidP="00C45B00">
      <w:pPr>
        <w:spacing w:line="480" w:lineRule="auto"/>
        <w:jc w:val="center"/>
        <w:rPr>
          <w:rFonts w:ascii="Times New Roman" w:hAnsi="Times New Roman" w:cs="Times New Roman"/>
          <w:sz w:val="24"/>
          <w:szCs w:val="24"/>
        </w:rPr>
      </w:pPr>
    </w:p>
    <w:p w14:paraId="5D95E589" w14:textId="5A93A9FC" w:rsidR="00C45B00" w:rsidRPr="008B5F88" w:rsidRDefault="00C45B00" w:rsidP="00C45B00">
      <w:pPr>
        <w:spacing w:line="480" w:lineRule="auto"/>
        <w:jc w:val="center"/>
        <w:rPr>
          <w:rFonts w:ascii="Times New Roman" w:hAnsi="Times New Roman" w:cs="Times New Roman"/>
          <w:sz w:val="24"/>
          <w:szCs w:val="24"/>
        </w:rPr>
      </w:pPr>
    </w:p>
    <w:p w14:paraId="6DED13FE" w14:textId="3B24E33F" w:rsidR="00C45B00" w:rsidRPr="008B5F88" w:rsidRDefault="00C45B00" w:rsidP="00C45B00">
      <w:pPr>
        <w:spacing w:line="480" w:lineRule="auto"/>
        <w:jc w:val="center"/>
        <w:rPr>
          <w:rFonts w:ascii="Times New Roman" w:hAnsi="Times New Roman" w:cs="Times New Roman"/>
          <w:sz w:val="24"/>
          <w:szCs w:val="24"/>
        </w:rPr>
      </w:pPr>
    </w:p>
    <w:p w14:paraId="112EB7FD" w14:textId="48551F0E" w:rsidR="00C45B00" w:rsidRPr="008B5F88" w:rsidRDefault="00C45B00" w:rsidP="00C45B00">
      <w:pPr>
        <w:spacing w:line="480" w:lineRule="auto"/>
        <w:jc w:val="center"/>
        <w:rPr>
          <w:rFonts w:ascii="Times New Roman" w:hAnsi="Times New Roman" w:cs="Times New Roman"/>
          <w:sz w:val="24"/>
          <w:szCs w:val="24"/>
        </w:rPr>
      </w:pPr>
    </w:p>
    <w:p w14:paraId="04953421" w14:textId="6AFD99DF" w:rsidR="00C45B00" w:rsidRPr="008B5F88" w:rsidRDefault="00C45B00" w:rsidP="00C45B00">
      <w:pPr>
        <w:spacing w:line="480" w:lineRule="auto"/>
        <w:jc w:val="center"/>
        <w:rPr>
          <w:rFonts w:ascii="Times New Roman" w:hAnsi="Times New Roman" w:cs="Times New Roman"/>
          <w:sz w:val="24"/>
          <w:szCs w:val="24"/>
        </w:rPr>
      </w:pPr>
    </w:p>
    <w:p w14:paraId="1E04EF95" w14:textId="3E67EC70" w:rsidR="00C45B00" w:rsidRPr="008B5F88" w:rsidRDefault="00C45B00" w:rsidP="00C45B00">
      <w:pPr>
        <w:spacing w:line="480" w:lineRule="auto"/>
        <w:jc w:val="center"/>
        <w:rPr>
          <w:rFonts w:ascii="Times New Roman" w:hAnsi="Times New Roman" w:cs="Times New Roman"/>
          <w:sz w:val="24"/>
          <w:szCs w:val="24"/>
        </w:rPr>
      </w:pPr>
    </w:p>
    <w:p w14:paraId="33E65F34" w14:textId="27DF118D" w:rsidR="00C45B00" w:rsidRPr="008B5F88" w:rsidRDefault="00C45B00" w:rsidP="00C45B00">
      <w:pPr>
        <w:spacing w:line="480" w:lineRule="auto"/>
        <w:jc w:val="center"/>
        <w:rPr>
          <w:rFonts w:ascii="Times New Roman" w:hAnsi="Times New Roman" w:cs="Times New Roman"/>
          <w:sz w:val="24"/>
          <w:szCs w:val="24"/>
        </w:rPr>
      </w:pPr>
    </w:p>
    <w:p w14:paraId="33B128E3" w14:textId="015577A4" w:rsidR="00C45B00" w:rsidRPr="005B11DF" w:rsidRDefault="001C54BC" w:rsidP="00C45B00">
      <w:pPr>
        <w:spacing w:line="480" w:lineRule="auto"/>
        <w:jc w:val="center"/>
        <w:rPr>
          <w:rFonts w:ascii="Times New Roman" w:hAnsi="Times New Roman" w:cs="Times New Roman"/>
          <w:bCs/>
          <w:sz w:val="24"/>
          <w:szCs w:val="24"/>
        </w:rPr>
      </w:pPr>
      <w:r w:rsidRPr="005B11DF">
        <w:rPr>
          <w:rFonts w:ascii="Times New Roman" w:hAnsi="Times New Roman" w:cs="Times New Roman"/>
          <w:bCs/>
          <w:sz w:val="24"/>
          <w:szCs w:val="24"/>
        </w:rPr>
        <w:t>ICT questions</w:t>
      </w:r>
    </w:p>
    <w:p w14:paraId="4F85D97C" w14:textId="5627D288" w:rsidR="00C45B00" w:rsidRPr="005B11DF" w:rsidRDefault="001C54BC" w:rsidP="00C45B00">
      <w:pPr>
        <w:spacing w:line="480" w:lineRule="auto"/>
        <w:jc w:val="center"/>
        <w:rPr>
          <w:rFonts w:ascii="Times New Roman" w:hAnsi="Times New Roman" w:cs="Times New Roman"/>
          <w:bCs/>
          <w:sz w:val="24"/>
          <w:szCs w:val="24"/>
        </w:rPr>
      </w:pPr>
      <w:r w:rsidRPr="005B11DF">
        <w:rPr>
          <w:rFonts w:ascii="Times New Roman" w:hAnsi="Times New Roman" w:cs="Times New Roman"/>
          <w:bCs/>
          <w:sz w:val="24"/>
          <w:szCs w:val="24"/>
        </w:rPr>
        <w:t>Student’s Name</w:t>
      </w:r>
    </w:p>
    <w:p w14:paraId="22262CAF" w14:textId="2D8CEA8D" w:rsidR="00C45B00" w:rsidRPr="005B11DF" w:rsidRDefault="001C54BC" w:rsidP="00C45B00">
      <w:pPr>
        <w:spacing w:line="480" w:lineRule="auto"/>
        <w:jc w:val="center"/>
        <w:rPr>
          <w:rFonts w:ascii="Times New Roman" w:hAnsi="Times New Roman" w:cs="Times New Roman"/>
          <w:bCs/>
          <w:sz w:val="24"/>
          <w:szCs w:val="24"/>
        </w:rPr>
      </w:pPr>
      <w:r w:rsidRPr="005B11DF">
        <w:rPr>
          <w:rFonts w:ascii="Times New Roman" w:hAnsi="Times New Roman" w:cs="Times New Roman"/>
          <w:bCs/>
          <w:sz w:val="24"/>
          <w:szCs w:val="24"/>
        </w:rPr>
        <w:t>Institutional Affiliation</w:t>
      </w:r>
    </w:p>
    <w:p w14:paraId="63DB3B07" w14:textId="120EE6D0" w:rsidR="00C45B00" w:rsidRPr="005B11DF" w:rsidRDefault="001C54BC" w:rsidP="00C45B00">
      <w:pPr>
        <w:spacing w:line="480" w:lineRule="auto"/>
        <w:jc w:val="center"/>
        <w:rPr>
          <w:rFonts w:ascii="Times New Roman" w:hAnsi="Times New Roman" w:cs="Times New Roman"/>
          <w:bCs/>
          <w:sz w:val="24"/>
          <w:szCs w:val="24"/>
        </w:rPr>
      </w:pPr>
      <w:r w:rsidRPr="005B11DF">
        <w:rPr>
          <w:rFonts w:ascii="Times New Roman" w:hAnsi="Times New Roman" w:cs="Times New Roman"/>
          <w:bCs/>
          <w:sz w:val="24"/>
          <w:szCs w:val="24"/>
        </w:rPr>
        <w:t xml:space="preserve">Date </w:t>
      </w:r>
    </w:p>
    <w:p w14:paraId="60B966E4" w14:textId="43AD34E9" w:rsidR="00C45B00" w:rsidRPr="008B5F88" w:rsidRDefault="00C45B00" w:rsidP="00C45B00">
      <w:pPr>
        <w:spacing w:line="480" w:lineRule="auto"/>
        <w:jc w:val="center"/>
        <w:rPr>
          <w:rFonts w:ascii="Times New Roman" w:hAnsi="Times New Roman" w:cs="Times New Roman"/>
          <w:b/>
          <w:bCs/>
          <w:sz w:val="24"/>
          <w:szCs w:val="24"/>
        </w:rPr>
      </w:pPr>
    </w:p>
    <w:p w14:paraId="66D3A0B0" w14:textId="5FC87C2B" w:rsidR="00C45B00" w:rsidRPr="008B5F88" w:rsidRDefault="00C45B00" w:rsidP="00C45B00">
      <w:pPr>
        <w:spacing w:line="480" w:lineRule="auto"/>
        <w:jc w:val="center"/>
        <w:rPr>
          <w:rFonts w:ascii="Times New Roman" w:hAnsi="Times New Roman" w:cs="Times New Roman"/>
          <w:b/>
          <w:bCs/>
          <w:sz w:val="24"/>
          <w:szCs w:val="24"/>
        </w:rPr>
      </w:pPr>
    </w:p>
    <w:p w14:paraId="29505D9B" w14:textId="0B23D0F0" w:rsidR="00C45B00" w:rsidRPr="008B5F88" w:rsidRDefault="00C45B00" w:rsidP="00C45B00">
      <w:pPr>
        <w:spacing w:line="480" w:lineRule="auto"/>
        <w:jc w:val="center"/>
        <w:rPr>
          <w:rFonts w:ascii="Times New Roman" w:hAnsi="Times New Roman" w:cs="Times New Roman"/>
          <w:b/>
          <w:bCs/>
          <w:sz w:val="24"/>
          <w:szCs w:val="24"/>
        </w:rPr>
      </w:pPr>
    </w:p>
    <w:p w14:paraId="7813418E" w14:textId="15C6D189" w:rsidR="00C45B00" w:rsidRPr="008B5F88" w:rsidRDefault="00C45B00" w:rsidP="00C45B00">
      <w:pPr>
        <w:spacing w:line="480" w:lineRule="auto"/>
        <w:jc w:val="center"/>
        <w:rPr>
          <w:rFonts w:ascii="Times New Roman" w:hAnsi="Times New Roman" w:cs="Times New Roman"/>
          <w:b/>
          <w:bCs/>
          <w:sz w:val="24"/>
          <w:szCs w:val="24"/>
        </w:rPr>
      </w:pPr>
    </w:p>
    <w:p w14:paraId="07612C72" w14:textId="35F2C351" w:rsidR="00C45B00" w:rsidRPr="008B5F88" w:rsidRDefault="00C45B00" w:rsidP="00C45B00">
      <w:pPr>
        <w:spacing w:line="480" w:lineRule="auto"/>
        <w:jc w:val="center"/>
        <w:rPr>
          <w:rFonts w:ascii="Times New Roman" w:hAnsi="Times New Roman" w:cs="Times New Roman"/>
          <w:b/>
          <w:bCs/>
          <w:sz w:val="24"/>
          <w:szCs w:val="24"/>
        </w:rPr>
      </w:pPr>
    </w:p>
    <w:p w14:paraId="30F16F4B" w14:textId="49F474D7" w:rsidR="005B11DF" w:rsidRDefault="005B11DF" w:rsidP="00215A67">
      <w:pPr>
        <w:spacing w:line="480" w:lineRule="auto"/>
        <w:rPr>
          <w:rFonts w:ascii="Times New Roman" w:hAnsi="Times New Roman" w:cs="Times New Roman"/>
          <w:b/>
          <w:bCs/>
          <w:sz w:val="24"/>
          <w:szCs w:val="24"/>
        </w:rPr>
      </w:pPr>
    </w:p>
    <w:p w14:paraId="5CF230D4" w14:textId="3C39D9D5" w:rsidR="00215A67" w:rsidRDefault="00215A67" w:rsidP="005B11D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Question 1</w:t>
      </w:r>
    </w:p>
    <w:p w14:paraId="3992E74B" w14:textId="5ABE98A1"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Information communication technology</w:t>
      </w:r>
    </w:p>
    <w:p w14:paraId="53BFFA97"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Information and communications technology refer to technologies that provide access to information through telecommunications. ICT is similar to IT, but ICT is more comprehensive, mainly focusing on wireless networks, internet, cell phones and other communication mediums. ICT is associated with modern technology and allows people and organizations (businesses) to interact in the digital world. ICT provides society with a vast array of new communication capabilities such as video-conferencing and instant messaging. Information and communication technologies have created a global village by bringing the world together and turning it into a small village (Chan, 2000).</w:t>
      </w:r>
    </w:p>
    <w:p w14:paraId="06FD649A"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 xml:space="preserve">ICT has revolutionized society as well as the economy. ICT has contributed to the growth of businesses. It is thought to usher in the Fourth Industrial Revolution. ICT leads to business growth as it has facilitated online shopping. Companies can advertise their products online and get customers for their goods. Through e-commerce, goods can be shipped from one country to another without physical contact between the buyer and the seller.  </w:t>
      </w:r>
    </w:p>
    <w:p w14:paraId="42091115"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 xml:space="preserve">ICT has also created opportunities for circulation of the labor market. It has facilitated access to education through distance learning. Unemployed but skilled people can look for more job opportunities in other countries which boosts the economic growth of the local economy. These people can work online from the comfort of their homes. ICT facilitates flexible and mobile working and virtual offices in the communications industry. </w:t>
      </w:r>
    </w:p>
    <w:p w14:paraId="70E121C0"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 xml:space="preserve">For businesses, modern information and communication technologies have reduced the cost of operations (Chan, 2000). The highly automated business operations have led to lower </w:t>
      </w:r>
      <w:r w:rsidRPr="005B11DF">
        <w:rPr>
          <w:rFonts w:ascii="Times New Roman" w:hAnsi="Times New Roman" w:cs="Times New Roman"/>
          <w:bCs/>
          <w:sz w:val="24"/>
          <w:szCs w:val="24"/>
        </w:rPr>
        <w:lastRenderedPageBreak/>
        <w:t>costs, opportunities and conveniences.  This leads to more profit for businesses due to higher savings.</w:t>
      </w:r>
    </w:p>
    <w:p w14:paraId="07D8BBC3"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There are negative impacts of ICT. Freeman and Soete (1997), have argued that ICT contributes to unemployment, especially in developing countries. ICT replaces the employed people rendering them jobless as machines take their places. This leads to the reduction or elimination of positions of unskilled laborers which increases unemployment. Job loss is one of the most significant adverse effects of ICT. ICT leads to unemployment in many ways, such as automation whereby robots replace people. Also, multiple workers are replaced by a smaller number who can do the same task.</w:t>
      </w:r>
    </w:p>
    <w:p w14:paraId="20A7E8CE" w14:textId="17F12D54"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Question 2</w:t>
      </w:r>
    </w:p>
    <w:p w14:paraId="649AECD1" w14:textId="77777777"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Discuss the importance of ICT regulations and standards</w:t>
      </w:r>
    </w:p>
    <w:p w14:paraId="267C00CB"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With the advancement in technology and modern information and communication technologies (ICT), regulations and standards are significant in bringing sanity to the digital world. ICT regulations are essential in the following ways: ensuring the protection of consumer interests, safeguarding to create effective competition, preventing anti-competitive practices and avoiding market failure.</w:t>
      </w:r>
    </w:p>
    <w:p w14:paraId="7E3730AD"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First ICT regulations and standards help in reducing fraud. Biddle et al. (2012), posit that the digitization of data and the expanding use of high-speed internet have led to new levels of crime and fraud. Intellectual property and private information can be accessed illegally by bad actors. The ICT regulations and standards are significant in reducing such crimes and fraud.</w:t>
      </w:r>
    </w:p>
    <w:p w14:paraId="2653613F"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 xml:space="preserve">ICT regulations and standards are significant in ensuring the protection of consumer interests. Effective regulation results in the protection of the consumer from fraud and </w:t>
      </w:r>
      <w:r w:rsidRPr="005B11DF">
        <w:rPr>
          <w:rFonts w:ascii="Times New Roman" w:hAnsi="Times New Roman" w:cs="Times New Roman"/>
          <w:bCs/>
          <w:sz w:val="24"/>
          <w:szCs w:val="24"/>
        </w:rPr>
        <w:lastRenderedPageBreak/>
        <w:t>conmanship. These standards force companies to comply with the set of rules and laws. This ensures that they do not breach these laws. In this way, the rights of consumers are maintained and upheld. Thus, consumers are not subjected to fraud and other malicious acts by companies. The regulations ensure that the commodities sold to the consumers are not substandard or of low quality (Biddle et al. 2012).</w:t>
      </w:r>
    </w:p>
    <w:p w14:paraId="67C6863A"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Another significance of effective regulation is an increased investment—liberalization in the telecommunications sector. Companies are confident in entering the market when they are sure that there are no risks of cybersecurity and fraud. Many companies look at the overall regulatory environment. They are looking for transparency and responsiveness for them to enter and stay in the market.</w:t>
      </w:r>
    </w:p>
    <w:p w14:paraId="46183ED4"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 xml:space="preserve">According to Biddle et al. (2012), ICT standards and regulations also bring sanity in competition hence protecting the consumers. Regulators intervene to remedy shortcomings in the competition, such as imposing some forms of regulation such as setting interconnection rates. They may also eliminate restrictions on resale to allow the entry of multiple operators. This ensures healthy competition to the benefit of consumers. </w:t>
      </w:r>
    </w:p>
    <w:p w14:paraId="2B2F2A1A" w14:textId="77777777"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Question 3</w:t>
      </w:r>
    </w:p>
    <w:p w14:paraId="4B6EEE2D" w14:textId="77777777"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Federal communications commission (FCC)</w:t>
      </w:r>
    </w:p>
    <w:p w14:paraId="79B4202B"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The Federal Communications Commission (FCC) is an independent agency that is tasked with regulating communications by television, radio, cable, wire, and satellite across the United States. Formed in 1934 under the Communications Act, the FCC maintains jurisdiction over radio frequency use public safety, and homeland safety as well as media responsibility. It has its headquarters in Washington DC.</w:t>
      </w:r>
    </w:p>
    <w:p w14:paraId="0E42FA13" w14:textId="77777777"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lastRenderedPageBreak/>
        <w:t>Structure of FCC</w:t>
      </w:r>
    </w:p>
    <w:p w14:paraId="3A806679" w14:textId="77777777" w:rsidR="005B11DF" w:rsidRPr="005B11DF" w:rsidRDefault="005B11DF" w:rsidP="005B11DF">
      <w:pPr>
        <w:spacing w:line="480" w:lineRule="auto"/>
        <w:ind w:firstLine="720"/>
        <w:rPr>
          <w:rFonts w:ascii="Times New Roman" w:hAnsi="Times New Roman" w:cs="Times New Roman"/>
          <w:bCs/>
          <w:sz w:val="24"/>
          <w:szCs w:val="24"/>
        </w:rPr>
      </w:pPr>
      <w:r w:rsidRPr="005B11DF">
        <w:rPr>
          <w:rFonts w:ascii="Times New Roman" w:hAnsi="Times New Roman" w:cs="Times New Roman"/>
          <w:bCs/>
          <w:sz w:val="24"/>
          <w:szCs w:val="24"/>
        </w:rPr>
        <w:t xml:space="preserve"> The FCC has five commissioners who are appointed by the president of the United States (Coase, 2013). The commissioners are then vetted by the US Senate, each to serve five-year terms although the term goes typically beyond this. One of the commissioners becomes the chairman of the commission. None of the members should have financial interests in the FCC. No more than three members should come from the same political party.</w:t>
      </w:r>
    </w:p>
    <w:p w14:paraId="6AE7F2F1" w14:textId="77777777" w:rsidR="005B11DF" w:rsidRPr="005B11DF" w:rsidRDefault="005B11DF" w:rsidP="005B11DF">
      <w:pPr>
        <w:spacing w:line="480" w:lineRule="auto"/>
        <w:jc w:val="center"/>
        <w:rPr>
          <w:rFonts w:ascii="Times New Roman" w:hAnsi="Times New Roman" w:cs="Times New Roman"/>
          <w:b/>
          <w:bCs/>
          <w:sz w:val="24"/>
          <w:szCs w:val="24"/>
        </w:rPr>
      </w:pPr>
      <w:r w:rsidRPr="005B11DF">
        <w:rPr>
          <w:rFonts w:ascii="Times New Roman" w:hAnsi="Times New Roman" w:cs="Times New Roman"/>
          <w:b/>
          <w:bCs/>
          <w:sz w:val="24"/>
          <w:szCs w:val="24"/>
        </w:rPr>
        <w:t>Organization of FCC</w:t>
      </w:r>
    </w:p>
    <w:p w14:paraId="5F5FF039"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FCC has six operating Bureaus with ten staff offices. These bureaus are involved in licensing, conducting investigations, participating in hearings, and implementing regulations. </w:t>
      </w:r>
    </w:p>
    <w:p w14:paraId="7E8FB177"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The bureaus include;</w:t>
      </w:r>
    </w:p>
    <w:p w14:paraId="69981E9C"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Enforcement Bureau (EB) which is responsible for enforcing provisions of the Communications Act 1934. The bureau also enforces regulations for terms and conditions of station authorizations, FCC orders and FCC rules. This bureau handles areas like local competition, consumer protection and public safety. It also handles issues dealing with homeland security (Coase, 2013). </w:t>
      </w:r>
    </w:p>
    <w:p w14:paraId="0BDB3498"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Consumer and Government Affairs Bureau (CGB) is another FCC bureau which is tasked with developing and implementing the agency’s consumer policies. It serves as the public face of the FCC through outreach and education. </w:t>
      </w:r>
    </w:p>
    <w:p w14:paraId="737D7099"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 xml:space="preserve">The other FCC bureau is the Media Bureau (MB) which develops and administers the policy and licensing programs relating to electronic media. Such electronic media include broadcast and cable television, radio broadcast. </w:t>
      </w:r>
    </w:p>
    <w:p w14:paraId="2E55A56E"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lastRenderedPageBreak/>
        <w:t>The other bureau is the International Bureau. This bureau is tasked with developing international policies in telecommunications. It coordinates frequency allocation and oversees FCC compliance with International radio regulations (Coase, 2013).</w:t>
      </w:r>
    </w:p>
    <w:p w14:paraId="26B82C94" w14:textId="77777777" w:rsidR="005B11DF" w:rsidRPr="005B11DF" w:rsidRDefault="005B11DF" w:rsidP="005B11DF">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The Public Safety and Homeland Security Bureau focuses on critical communications infrastructure of the agency. It was established in 2006.</w:t>
      </w:r>
    </w:p>
    <w:p w14:paraId="57AE3EB7" w14:textId="77777777" w:rsidR="0009548A" w:rsidRDefault="005B11DF" w:rsidP="0009548A">
      <w:pPr>
        <w:spacing w:line="480" w:lineRule="auto"/>
        <w:rPr>
          <w:rFonts w:ascii="Times New Roman" w:hAnsi="Times New Roman" w:cs="Times New Roman"/>
          <w:bCs/>
          <w:sz w:val="24"/>
          <w:szCs w:val="24"/>
        </w:rPr>
      </w:pPr>
      <w:r w:rsidRPr="005B11DF">
        <w:rPr>
          <w:rFonts w:ascii="Times New Roman" w:hAnsi="Times New Roman" w:cs="Times New Roman"/>
          <w:bCs/>
          <w:sz w:val="24"/>
          <w:szCs w:val="24"/>
        </w:rPr>
        <w:t>The Wireline Competition Bureau (WCB) is tasked with developing policies relating to wireline telecommunications. This bureau aims at promoting growth and economical investments.</w:t>
      </w:r>
    </w:p>
    <w:p w14:paraId="627A5777" w14:textId="7126721B" w:rsidR="0009548A" w:rsidRPr="0009548A" w:rsidRDefault="0009548A" w:rsidP="0009548A">
      <w:pPr>
        <w:spacing w:line="480" w:lineRule="auto"/>
        <w:jc w:val="center"/>
        <w:rPr>
          <w:rFonts w:ascii="Times New Roman" w:hAnsi="Times New Roman" w:cs="Times New Roman"/>
          <w:b/>
          <w:bCs/>
          <w:sz w:val="24"/>
          <w:szCs w:val="24"/>
        </w:rPr>
      </w:pPr>
      <w:r w:rsidRPr="0009548A">
        <w:rPr>
          <w:rFonts w:ascii="Times New Roman" w:hAnsi="Times New Roman" w:cs="Times New Roman"/>
          <w:b/>
          <w:bCs/>
          <w:sz w:val="24"/>
          <w:szCs w:val="24"/>
        </w:rPr>
        <w:t>Question 4</w:t>
      </w:r>
    </w:p>
    <w:p w14:paraId="6C0FA6B4" w14:textId="112F6675" w:rsidR="0009548A" w:rsidRPr="0009548A" w:rsidRDefault="0009548A" w:rsidP="0009548A">
      <w:pPr>
        <w:spacing w:line="480" w:lineRule="auto"/>
        <w:rPr>
          <w:rFonts w:ascii="Times New Roman" w:hAnsi="Times New Roman" w:cs="Times New Roman"/>
          <w:bCs/>
          <w:sz w:val="24"/>
          <w:szCs w:val="24"/>
        </w:rPr>
      </w:pPr>
      <w:r w:rsidRPr="0009548A">
        <w:rPr>
          <w:rFonts w:ascii="Times New Roman" w:hAnsi="Times New Roman" w:cs="Times New Roman"/>
          <w:b/>
          <w:sz w:val="24"/>
          <w:szCs w:val="24"/>
        </w:rPr>
        <w:tab/>
        <w:t>Explain and discuss the ITU, its operations and structural organization.</w:t>
      </w:r>
    </w:p>
    <w:p w14:paraId="2F7B35FC" w14:textId="788BB81D"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 xml:space="preserve">The International Telecommunication Union stood for ITU and was formerly the International Telegraph Union. This is an agency that is made </w:t>
      </w:r>
      <w:r w:rsidRPr="0009548A">
        <w:rPr>
          <w:rFonts w:ascii="Times New Roman" w:hAnsi="Times New Roman" w:cs="Times New Roman"/>
          <w:sz w:val="24"/>
          <w:szCs w:val="24"/>
        </w:rPr>
        <w:t>especially</w:t>
      </w:r>
      <w:r w:rsidRPr="0009548A">
        <w:rPr>
          <w:rFonts w:ascii="Times New Roman" w:hAnsi="Times New Roman" w:cs="Times New Roman"/>
          <w:sz w:val="24"/>
          <w:szCs w:val="24"/>
        </w:rPr>
        <w:t xml:space="preserve"> for the United Nations. It holds the role or the responsibility of information and communication technologies (ICT). It is one of the oldest organizations globally.</w:t>
      </w:r>
    </w:p>
    <w:p w14:paraId="24D2E249"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The ITU headquarters are in Geneva. It has the role of coordinating the shared use of the radio spectrum globally. It also has the task of promoting international cooperation by assigning orbits for satellites with the aim of improving the infrastructure in telecommunication in the developing countries. It also ensures coordination in global standards of technology (Telecom, ITU 1996).</w:t>
      </w:r>
    </w:p>
    <w:p w14:paraId="493FC6E9"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ITU plays its role also in the provision of broadband internet, wireless generation technologies and contributes again largely in aeronautical and maritime navigation, satellite-</w:t>
      </w:r>
      <w:r w:rsidRPr="0009548A">
        <w:rPr>
          <w:rFonts w:ascii="Times New Roman" w:hAnsi="Times New Roman" w:cs="Times New Roman"/>
          <w:sz w:val="24"/>
          <w:szCs w:val="24"/>
        </w:rPr>
        <w:lastRenderedPageBreak/>
        <w:t>based meteorology meaning that they can predict or forecast weather, allow internet access, voice and also broadcasting in TVs as well as working on generation-net networks.</w:t>
      </w:r>
    </w:p>
    <w:p w14:paraId="2EBEC1EC" w14:textId="77777777" w:rsidR="0009548A" w:rsidRPr="0009548A" w:rsidRDefault="0009548A" w:rsidP="0009548A">
      <w:pPr>
        <w:spacing w:line="480" w:lineRule="auto"/>
        <w:jc w:val="center"/>
        <w:rPr>
          <w:rFonts w:ascii="Times New Roman" w:hAnsi="Times New Roman" w:cs="Times New Roman"/>
          <w:b/>
          <w:sz w:val="24"/>
          <w:szCs w:val="24"/>
        </w:rPr>
      </w:pPr>
      <w:r w:rsidRPr="0009548A">
        <w:rPr>
          <w:rFonts w:ascii="Times New Roman" w:hAnsi="Times New Roman" w:cs="Times New Roman"/>
          <w:b/>
          <w:sz w:val="24"/>
          <w:szCs w:val="24"/>
        </w:rPr>
        <w:t>Structure of ITU</w:t>
      </w:r>
    </w:p>
    <w:p w14:paraId="268171B6" w14:textId="21A8F391" w:rsidR="0009548A" w:rsidRPr="0009548A" w:rsidRDefault="0009548A" w:rsidP="0009548A">
      <w:pPr>
        <w:spacing w:line="480" w:lineRule="auto"/>
        <w:rPr>
          <w:rFonts w:ascii="Times New Roman" w:hAnsi="Times New Roman" w:cs="Times New Roman"/>
          <w:sz w:val="24"/>
          <w:szCs w:val="24"/>
        </w:rPr>
      </w:pPr>
      <w:r w:rsidRPr="0009548A">
        <w:rPr>
          <w:rFonts w:ascii="Times New Roman" w:hAnsi="Times New Roman" w:cs="Times New Roman"/>
          <w:sz w:val="24"/>
          <w:szCs w:val="24"/>
        </w:rPr>
        <w:t xml:space="preserve"> </w:t>
      </w:r>
      <w:r w:rsidRPr="0009548A">
        <w:rPr>
          <w:rFonts w:ascii="Times New Roman" w:hAnsi="Times New Roman" w:cs="Times New Roman"/>
          <w:sz w:val="24"/>
          <w:szCs w:val="24"/>
        </w:rPr>
        <w:tab/>
        <w:t xml:space="preserve">The latest construction of ITU puts together the previous structures into three significant classes or pillars for the smooth functioning of the work allocated by the plenipotentiary Conference. It entails the Radiocommunication pillar, the telecommunication standardization sector and the development sector. The role of each sector is dictated by regional </w:t>
      </w:r>
      <w:r>
        <w:rPr>
          <w:rFonts w:ascii="Times New Roman" w:hAnsi="Times New Roman" w:cs="Times New Roman"/>
          <w:sz w:val="24"/>
          <w:szCs w:val="24"/>
        </w:rPr>
        <w:t xml:space="preserve">and international conferences. </w:t>
      </w:r>
    </w:p>
    <w:p w14:paraId="4EF421CB"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The Radiocommunication sector (ITU-R) has the duty of ensuring that there is fair, optimal and rational utilization of the radio frequencies. That is the spectrum RF. The second sector is the Telecommunication Standardization (ITU-T) it designs and recommends the standardizing of the telecommunication activities of the globe. The third sector is the telecommunication Development (ITU-D) which plays the role of assisting nations in developing and maintenance of the internal communication operations.</w:t>
      </w:r>
    </w:p>
    <w:p w14:paraId="027E28A3" w14:textId="77777777" w:rsid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 xml:space="preserve">They are all also under a bureau which is headed by a director. The assistants for directors are the groups of Advisory which have members who represent the national administrators of telecommunication, any groups of study and authorized organizations. The conference of Plenipotentiary selects through an election the council of ITU which serves for four years- it acts in terms and guides the organization’s work throughout the years. The headquarters of the organization in Geneva is headed by the Secretary-General with his assistants', directors and bureau of standardizations in telecommunication. The Secretary-General </w:t>
      </w:r>
      <w:r w:rsidRPr="0009548A">
        <w:rPr>
          <w:rFonts w:ascii="Times New Roman" w:hAnsi="Times New Roman" w:cs="Times New Roman"/>
          <w:sz w:val="24"/>
          <w:szCs w:val="24"/>
        </w:rPr>
        <w:lastRenderedPageBreak/>
        <w:t>at now is Utsumi Yoshio of Japan elected in 1998 October, by the Plenipotent</w:t>
      </w:r>
      <w:r>
        <w:rPr>
          <w:rFonts w:ascii="Times New Roman" w:hAnsi="Times New Roman" w:cs="Times New Roman"/>
          <w:sz w:val="24"/>
          <w:szCs w:val="24"/>
        </w:rPr>
        <w:t>iary Conference of Minneapolis.</w:t>
      </w:r>
    </w:p>
    <w:p w14:paraId="44E3D78E" w14:textId="704A3FF2" w:rsidR="0009548A" w:rsidRDefault="0009548A" w:rsidP="0009548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5</w:t>
      </w:r>
    </w:p>
    <w:p w14:paraId="3D8C1887" w14:textId="2AA6780D" w:rsidR="0009548A" w:rsidRPr="0009548A" w:rsidRDefault="0009548A" w:rsidP="0009548A">
      <w:pPr>
        <w:spacing w:line="480" w:lineRule="auto"/>
        <w:jc w:val="center"/>
        <w:rPr>
          <w:rFonts w:ascii="Times New Roman" w:hAnsi="Times New Roman" w:cs="Times New Roman"/>
          <w:sz w:val="24"/>
          <w:szCs w:val="24"/>
        </w:rPr>
      </w:pPr>
      <w:r w:rsidRPr="0009548A">
        <w:rPr>
          <w:rFonts w:ascii="Times New Roman" w:hAnsi="Times New Roman" w:cs="Times New Roman"/>
          <w:b/>
          <w:sz w:val="24"/>
          <w:szCs w:val="24"/>
        </w:rPr>
        <w:t>Importance of Saudi CITC for the ICT sector in Saudi A</w:t>
      </w:r>
      <w:r w:rsidR="00D176EC">
        <w:rPr>
          <w:rFonts w:ascii="Times New Roman" w:hAnsi="Times New Roman" w:cs="Times New Roman"/>
          <w:b/>
          <w:sz w:val="24"/>
          <w:szCs w:val="24"/>
        </w:rPr>
        <w:t>rabia</w:t>
      </w:r>
      <w:r w:rsidRPr="0009548A">
        <w:rPr>
          <w:rFonts w:ascii="Times New Roman" w:hAnsi="Times New Roman" w:cs="Times New Roman"/>
          <w:b/>
          <w:sz w:val="24"/>
          <w:szCs w:val="24"/>
        </w:rPr>
        <w:t>.</w:t>
      </w:r>
    </w:p>
    <w:p w14:paraId="4295D62C"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 xml:space="preserve">CITC stands for the Communications and Information Technology Commission. This commission participates in summits for technology globally and has the aim of transforming data to information that is practical in all areas of ICT. This major world summit is known as the World Telecommunication and Information Society Day. The WTISD has some highlighted technological developments that have aided in the emergence of prominent sources of data and users, and it has also facilitated the growth of standards which are connected to big data as well as the identification of many abundant sources and their functions for the development of a society of information even monitoring of the slightest improvement. </w:t>
      </w:r>
    </w:p>
    <w:p w14:paraId="09463BBE"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 xml:space="preserve">The commission states that every province in the kingdom has seen the benefits of services that ICT provide. The commission says that the ICT market of Saudi Arabia is currently the greatest in the Middle East, with a total worth of SR 180 billion. It also has the highest investment and expenditures in a year, meaning that there is progress. </w:t>
      </w:r>
    </w:p>
    <w:p w14:paraId="666E8EC2"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CTIC has worked with the ICT providers to ensure that most businesses have received or have the necessary fixed voice telecommunication services. They also have linked 1.73 million residential subscription hence done away with the communication barrier. This has helped improve security issues as well as hastening the response of the emergency unit leading to saving of lives and making the nation a better place to live in.</w:t>
      </w:r>
    </w:p>
    <w:p w14:paraId="3A67A528"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lastRenderedPageBreak/>
        <w:t>The ICT sector in this commission contributes most considerable to the national GDP significantly with a percentage amounted to 10%. Saudi Arabia has rose position globally of the countries and was ranked the third in penetration of mobile rates and the seventh in the government's success in teaching and enlightening on the importance of telecommunication as well as information technology. It has also been ranked the fifteenth country globally in penetration of mobile broadband rate. The Kingdom of Arabia also has won seven WSIS prizes in the last at least five years from the ITU, International Telecommunication Union.</w:t>
      </w:r>
    </w:p>
    <w:p w14:paraId="368A06E1" w14:textId="13288B36" w:rsidR="0009548A" w:rsidRDefault="0009548A" w:rsidP="0009548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6</w:t>
      </w:r>
    </w:p>
    <w:p w14:paraId="3537D2F6" w14:textId="0CAF2779" w:rsidR="0009548A" w:rsidRPr="0009548A" w:rsidRDefault="0009548A" w:rsidP="0009548A">
      <w:pPr>
        <w:spacing w:line="480" w:lineRule="auto"/>
        <w:jc w:val="center"/>
        <w:rPr>
          <w:rFonts w:ascii="Times New Roman" w:hAnsi="Times New Roman" w:cs="Times New Roman"/>
          <w:b/>
          <w:sz w:val="24"/>
          <w:szCs w:val="24"/>
        </w:rPr>
      </w:pPr>
      <w:r w:rsidRPr="0009548A">
        <w:rPr>
          <w:rFonts w:ascii="Times New Roman" w:hAnsi="Times New Roman" w:cs="Times New Roman"/>
          <w:b/>
          <w:sz w:val="24"/>
          <w:szCs w:val="24"/>
        </w:rPr>
        <w:t>ISO and ETSI and other standard organizations importance to ICT</w:t>
      </w:r>
    </w:p>
    <w:p w14:paraId="39A502A1"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ISO is the International Organization for Standardization. This is a body of setting that is made up of individuals from different standards organizations nationally. It was founded in 1947 February, 23 and it promotes standardization in commercial, industrial and proprietor firms. Its headquarters are in Geneva in Switzerland. It controls more than 164 countries of the world (Zeis, et., al, 2007).</w:t>
      </w:r>
    </w:p>
    <w:p w14:paraId="0A62BD79"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In ISO some specifications may be provided in technology. Some specifications are either publicly available and are produced prior to the development of a full international standard. Through a convention, specifications should be named I a manner that is similar to the organization's reports of the technical.</w:t>
      </w:r>
    </w:p>
    <w:p w14:paraId="090B7C6A"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ISO is important to ICT because it measures the quality of services that are offered by the companies of ICT. It is also significant here because it ensures that all these companies implement the TQM (total Quality Management) strategy which allows a room for improvement in the performance of the organization.</w:t>
      </w:r>
    </w:p>
    <w:p w14:paraId="18B09D7E"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lastRenderedPageBreak/>
        <w:t>ETSI, on the other hand, is an organization that produces or comes up with standards that are applicable for the Information and Communication Technologies. It also entails with it the radio, mobile and internet-based technologies. It is officially being recognized by the union of the Europeans as one of their standard organization. It is also an independent as well as a non-profit organization with more than 700 registered organizations and members. It has operated in more than 63 countries in 5 continents (Durgedil, 2009).</w:t>
      </w:r>
    </w:p>
    <w:p w14:paraId="4A9699FA"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Some of the importance of the standard organization to ICT include; for instance, Iso has a technical committee that is joint and also the international Electrotechnical Commission. They establish and maintain even promote the standards in the field of information technology and ICT.</w:t>
      </w:r>
    </w:p>
    <w:p w14:paraId="0E9DF64C"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Standards in ICT have a roadmap which is intended to support the security standards of the work of ITU. Standards also creep in instances where development has not yet been initiated.</w:t>
      </w:r>
    </w:p>
    <w:p w14:paraId="5CFE795B" w14:textId="77777777" w:rsidR="0009548A" w:rsidRPr="0009548A" w:rsidRDefault="0009548A" w:rsidP="0009548A">
      <w:pPr>
        <w:spacing w:line="480" w:lineRule="auto"/>
        <w:ind w:firstLine="720"/>
        <w:rPr>
          <w:rFonts w:ascii="Times New Roman" w:hAnsi="Times New Roman" w:cs="Times New Roman"/>
          <w:sz w:val="24"/>
          <w:szCs w:val="24"/>
        </w:rPr>
      </w:pPr>
      <w:r w:rsidRPr="0009548A">
        <w:rPr>
          <w:rFonts w:ascii="Times New Roman" w:hAnsi="Times New Roman" w:cs="Times New Roman"/>
          <w:sz w:val="24"/>
          <w:szCs w:val="24"/>
        </w:rPr>
        <w:t>The roadmap is considered as work in progress strategy, and its primary publication id did on a web, meaning that it will control or encourage the use of the internet for study. This will act as a standard and also improve information technology.</w:t>
      </w:r>
    </w:p>
    <w:p w14:paraId="08FA6E22" w14:textId="2982774B" w:rsidR="00215A67" w:rsidRPr="0009548A" w:rsidRDefault="0009548A" w:rsidP="0009548A">
      <w:pPr>
        <w:spacing w:line="480" w:lineRule="auto"/>
        <w:rPr>
          <w:rFonts w:ascii="Times New Roman" w:hAnsi="Times New Roman" w:cs="Times New Roman"/>
          <w:sz w:val="24"/>
          <w:szCs w:val="24"/>
        </w:rPr>
      </w:pPr>
      <w:r w:rsidRPr="0009548A">
        <w:rPr>
          <w:rFonts w:ascii="Times New Roman" w:hAnsi="Times New Roman" w:cs="Times New Roman"/>
          <w:sz w:val="24"/>
          <w:szCs w:val="24"/>
        </w:rPr>
        <w:t>Definitions of IT security also acts as another standard. The essential terms can be used with clarity without being ambiguous.</w:t>
      </w:r>
    </w:p>
    <w:p w14:paraId="7B584410" w14:textId="77777777" w:rsidR="00215A67" w:rsidRPr="0009548A" w:rsidRDefault="00215A67" w:rsidP="008B5F88">
      <w:pPr>
        <w:spacing w:line="480" w:lineRule="auto"/>
        <w:ind w:left="360" w:firstLine="360"/>
        <w:jc w:val="center"/>
        <w:rPr>
          <w:rFonts w:ascii="Times New Roman" w:hAnsi="Times New Roman" w:cs="Times New Roman"/>
          <w:sz w:val="24"/>
          <w:szCs w:val="24"/>
        </w:rPr>
      </w:pPr>
    </w:p>
    <w:p w14:paraId="19BE5E49" w14:textId="77777777" w:rsidR="00215A67" w:rsidRDefault="00215A67" w:rsidP="008B5F88">
      <w:pPr>
        <w:spacing w:line="480" w:lineRule="auto"/>
        <w:ind w:left="360" w:firstLine="360"/>
        <w:jc w:val="center"/>
        <w:rPr>
          <w:rFonts w:ascii="Times New Roman" w:hAnsi="Times New Roman" w:cs="Times New Roman"/>
          <w:b/>
          <w:sz w:val="24"/>
          <w:szCs w:val="24"/>
        </w:rPr>
      </w:pPr>
    </w:p>
    <w:p w14:paraId="6067ED68" w14:textId="0F63812E" w:rsidR="00215A67" w:rsidRDefault="00215A67" w:rsidP="00D176EC">
      <w:pPr>
        <w:spacing w:line="480" w:lineRule="auto"/>
        <w:rPr>
          <w:rFonts w:ascii="Times New Roman" w:hAnsi="Times New Roman" w:cs="Times New Roman"/>
          <w:b/>
          <w:sz w:val="24"/>
          <w:szCs w:val="24"/>
        </w:rPr>
      </w:pPr>
      <w:bookmarkStart w:id="0" w:name="_GoBack"/>
      <w:bookmarkEnd w:id="0"/>
    </w:p>
    <w:p w14:paraId="1928C37C" w14:textId="0B34BFC5" w:rsidR="00215A67" w:rsidRDefault="00215A67" w:rsidP="0009548A">
      <w:pPr>
        <w:spacing w:line="480" w:lineRule="auto"/>
        <w:rPr>
          <w:rFonts w:ascii="Times New Roman" w:hAnsi="Times New Roman" w:cs="Times New Roman"/>
          <w:b/>
          <w:sz w:val="24"/>
          <w:szCs w:val="24"/>
        </w:rPr>
      </w:pPr>
    </w:p>
    <w:p w14:paraId="11DFA399" w14:textId="0936DF7F" w:rsidR="008B5F88" w:rsidRPr="00082DD6" w:rsidRDefault="001C54BC" w:rsidP="008B5F88">
      <w:pPr>
        <w:spacing w:line="480" w:lineRule="auto"/>
        <w:ind w:left="360" w:firstLine="360"/>
        <w:jc w:val="center"/>
        <w:rPr>
          <w:rFonts w:ascii="Times New Roman" w:hAnsi="Times New Roman" w:cs="Times New Roman"/>
          <w:b/>
          <w:sz w:val="24"/>
          <w:szCs w:val="24"/>
        </w:rPr>
      </w:pPr>
      <w:r w:rsidRPr="00082DD6">
        <w:rPr>
          <w:rFonts w:ascii="Times New Roman" w:hAnsi="Times New Roman" w:cs="Times New Roman"/>
          <w:b/>
          <w:sz w:val="24"/>
          <w:szCs w:val="24"/>
        </w:rPr>
        <w:lastRenderedPageBreak/>
        <w:t>References</w:t>
      </w:r>
    </w:p>
    <w:tbl>
      <w:tblPr>
        <w:tblW w:w="6534" w:type="dxa"/>
        <w:shd w:val="clear" w:color="auto" w:fill="FFFFFF"/>
        <w:tblCellMar>
          <w:left w:w="0" w:type="dxa"/>
          <w:right w:w="0" w:type="dxa"/>
        </w:tblCellMar>
        <w:tblLook w:val="04A0" w:firstRow="1" w:lastRow="0" w:firstColumn="1" w:lastColumn="0" w:noHBand="0" w:noVBand="1"/>
      </w:tblPr>
      <w:tblGrid>
        <w:gridCol w:w="6534"/>
      </w:tblGrid>
      <w:tr w:rsidR="00082DD6" w14:paraId="5E1E99BF" w14:textId="77777777" w:rsidTr="008B5F88">
        <w:tc>
          <w:tcPr>
            <w:tcW w:w="0" w:type="auto"/>
            <w:shd w:val="clear" w:color="auto" w:fill="FFFFFF"/>
            <w:vAlign w:val="center"/>
            <w:hideMark/>
          </w:tcPr>
          <w:p w14:paraId="7B9D56F9" w14:textId="77777777" w:rsidR="00082DD6" w:rsidRPr="008B5F88" w:rsidRDefault="00082DD6" w:rsidP="00082DD6">
            <w:pPr>
              <w:spacing w:after="0" w:line="240" w:lineRule="auto"/>
              <w:ind w:hanging="720"/>
              <w:rPr>
                <w:rFonts w:ascii="Times New Roman" w:eastAsia="Times New Roman" w:hAnsi="Times New Roman" w:cs="Times New Roman"/>
                <w:sz w:val="24"/>
                <w:szCs w:val="24"/>
              </w:rPr>
            </w:pPr>
          </w:p>
        </w:tc>
      </w:tr>
    </w:tbl>
    <w:p w14:paraId="56FD2800" w14:textId="77777777" w:rsidR="00082DD6" w:rsidRPr="00082DD6" w:rsidRDefault="00082DD6" w:rsidP="00082DD6">
      <w:pPr>
        <w:spacing w:line="480" w:lineRule="auto"/>
        <w:ind w:left="360" w:hanging="720"/>
        <w:rPr>
          <w:rFonts w:ascii="Times New Roman" w:hAnsi="Times New Roman" w:cs="Times New Roman"/>
          <w:sz w:val="24"/>
          <w:szCs w:val="24"/>
        </w:rPr>
      </w:pPr>
      <w:r w:rsidRPr="00082DD6">
        <w:rPr>
          <w:rFonts w:ascii="Times New Roman" w:hAnsi="Times New Roman" w:cs="Times New Roman"/>
          <w:sz w:val="24"/>
          <w:szCs w:val="24"/>
        </w:rPr>
        <w:t>Biddle, B., Curci, F. X., Haslach, T. F., Marchant, G. E., Askland, A., &amp; Gaudet, L. (2012). The expanding role and importance of standards in the information and communications technology industry. Jurimetrics, 177-208.</w:t>
      </w:r>
    </w:p>
    <w:p w14:paraId="48F46C41" w14:textId="77777777" w:rsidR="00082DD6" w:rsidRPr="00082DD6" w:rsidRDefault="00082DD6" w:rsidP="00082DD6">
      <w:pPr>
        <w:spacing w:line="480" w:lineRule="auto"/>
        <w:ind w:left="360" w:hanging="720"/>
        <w:rPr>
          <w:rFonts w:ascii="Times New Roman" w:hAnsi="Times New Roman" w:cs="Times New Roman"/>
          <w:sz w:val="24"/>
          <w:szCs w:val="24"/>
        </w:rPr>
      </w:pPr>
      <w:r w:rsidRPr="00082DD6">
        <w:rPr>
          <w:rFonts w:ascii="Times New Roman" w:hAnsi="Times New Roman" w:cs="Times New Roman"/>
          <w:sz w:val="24"/>
          <w:szCs w:val="24"/>
        </w:rPr>
        <w:t>Chan, S. L. (2000). Information technology in business processes. Business Process Management Journal.</w:t>
      </w:r>
    </w:p>
    <w:p w14:paraId="63E9D4CD" w14:textId="77777777" w:rsidR="00082DD6" w:rsidRPr="00082DD6" w:rsidRDefault="00082DD6" w:rsidP="00082DD6">
      <w:pPr>
        <w:spacing w:line="480" w:lineRule="auto"/>
        <w:ind w:left="360" w:hanging="720"/>
        <w:rPr>
          <w:rFonts w:ascii="Times New Roman" w:hAnsi="Times New Roman" w:cs="Times New Roman"/>
          <w:sz w:val="24"/>
          <w:szCs w:val="24"/>
        </w:rPr>
      </w:pPr>
      <w:r w:rsidRPr="00082DD6">
        <w:rPr>
          <w:rFonts w:ascii="Times New Roman" w:hAnsi="Times New Roman" w:cs="Times New Roman"/>
          <w:sz w:val="24"/>
          <w:szCs w:val="24"/>
        </w:rPr>
        <w:t>Coase, R. H. (2013). The federal communications commission. In Private and Common Property (pp. 53-92). Routledge.</w:t>
      </w:r>
    </w:p>
    <w:p w14:paraId="1C95987D" w14:textId="77777777" w:rsidR="00082DD6" w:rsidRDefault="00082DD6" w:rsidP="00082DD6">
      <w:pPr>
        <w:spacing w:line="480" w:lineRule="auto"/>
        <w:ind w:left="360" w:hanging="720"/>
        <w:rPr>
          <w:rFonts w:ascii="Times New Roman" w:hAnsi="Times New Roman" w:cs="Times New Roman"/>
          <w:color w:val="222222"/>
          <w:sz w:val="24"/>
          <w:szCs w:val="24"/>
          <w:shd w:val="clear" w:color="auto" w:fill="FFFFFF"/>
        </w:rPr>
      </w:pPr>
      <w:r w:rsidRPr="008B5F88">
        <w:rPr>
          <w:rFonts w:ascii="Times New Roman" w:hAnsi="Times New Roman" w:cs="Times New Roman"/>
          <w:color w:val="222222"/>
          <w:sz w:val="24"/>
          <w:szCs w:val="24"/>
          <w:shd w:val="clear" w:color="auto" w:fill="FFFFFF"/>
        </w:rPr>
        <w:t>Dugerdil, B. (2009). ETSI green agenda. </w:t>
      </w:r>
      <w:r w:rsidRPr="008B5F88">
        <w:rPr>
          <w:rFonts w:ascii="Times New Roman" w:hAnsi="Times New Roman" w:cs="Times New Roman"/>
          <w:i/>
          <w:iCs/>
          <w:color w:val="222222"/>
          <w:sz w:val="24"/>
          <w:szCs w:val="24"/>
          <w:shd w:val="clear" w:color="auto" w:fill="FFFFFF"/>
        </w:rPr>
        <w:t>Online: http://www. itu. int/dms_pub/itu-t/oth/06 F</w:t>
      </w:r>
      <w:r w:rsidRPr="008B5F88">
        <w:rPr>
          <w:rFonts w:ascii="Times New Roman" w:hAnsi="Times New Roman" w:cs="Times New Roman"/>
          <w:color w:val="222222"/>
          <w:sz w:val="24"/>
          <w:szCs w:val="24"/>
          <w:shd w:val="clear" w:color="auto" w:fill="FFFFFF"/>
        </w:rPr>
        <w:t>.</w:t>
      </w:r>
    </w:p>
    <w:p w14:paraId="3207A8FC" w14:textId="77777777" w:rsidR="00082DD6" w:rsidRPr="008B5F88" w:rsidRDefault="00082DD6" w:rsidP="00082DD6">
      <w:pPr>
        <w:spacing w:line="480" w:lineRule="auto"/>
        <w:ind w:left="360" w:hanging="720"/>
        <w:rPr>
          <w:rFonts w:ascii="Times New Roman" w:hAnsi="Times New Roman" w:cs="Times New Roman"/>
          <w:sz w:val="24"/>
          <w:szCs w:val="24"/>
        </w:rPr>
      </w:pPr>
      <w:r w:rsidRPr="00082DD6">
        <w:rPr>
          <w:rFonts w:ascii="Times New Roman" w:hAnsi="Times New Roman" w:cs="Times New Roman"/>
          <w:sz w:val="24"/>
          <w:szCs w:val="24"/>
        </w:rPr>
        <w:t>Freeman, C., &amp; Soete, L. (1997). The economics of industrial innovation. Psychology Press.</w:t>
      </w:r>
    </w:p>
    <w:p w14:paraId="6AEAA083" w14:textId="77777777" w:rsidR="00082DD6" w:rsidRDefault="00082DD6" w:rsidP="00082DD6">
      <w:pPr>
        <w:spacing w:line="480" w:lineRule="auto"/>
        <w:ind w:left="360" w:hanging="720"/>
        <w:rPr>
          <w:rFonts w:ascii="Times New Roman" w:hAnsi="Times New Roman" w:cs="Times New Roman"/>
          <w:sz w:val="24"/>
          <w:szCs w:val="24"/>
        </w:rPr>
      </w:pPr>
      <w:r w:rsidRPr="008B5F88">
        <w:rPr>
          <w:rFonts w:ascii="Times New Roman" w:hAnsi="Times New Roman" w:cs="Times New Roman"/>
          <w:sz w:val="24"/>
          <w:szCs w:val="24"/>
        </w:rPr>
        <w:t xml:space="preserve">Telecom, I. T. U. (1996). Standardization Sector of ITU,“. </w:t>
      </w:r>
      <w:r w:rsidRPr="008B5F88">
        <w:rPr>
          <w:rFonts w:ascii="Times New Roman" w:hAnsi="Times New Roman" w:cs="Times New Roman"/>
          <w:i/>
          <w:iCs/>
          <w:sz w:val="24"/>
          <w:szCs w:val="24"/>
        </w:rPr>
        <w:t>Video coding for low bitrate</w:t>
      </w:r>
      <w:r w:rsidRPr="008B5F88">
        <w:rPr>
          <w:rFonts w:ascii="Times New Roman" w:hAnsi="Times New Roman" w:cs="Times New Roman"/>
          <w:sz w:val="24"/>
          <w:szCs w:val="24"/>
        </w:rPr>
        <w:t xml:space="preserve"> </w:t>
      </w:r>
      <w:r w:rsidRPr="008B5F88">
        <w:rPr>
          <w:rFonts w:ascii="Times New Roman" w:hAnsi="Times New Roman" w:cs="Times New Roman"/>
          <w:i/>
          <w:iCs/>
          <w:sz w:val="24"/>
          <w:szCs w:val="24"/>
        </w:rPr>
        <w:t>communication</w:t>
      </w:r>
      <w:r w:rsidRPr="008B5F88">
        <w:rPr>
          <w:rFonts w:ascii="Times New Roman" w:hAnsi="Times New Roman" w:cs="Times New Roman"/>
          <w:sz w:val="24"/>
          <w:szCs w:val="24"/>
        </w:rPr>
        <w:t>,” Draft ITU-T Recommendation H, 263.</w:t>
      </w:r>
    </w:p>
    <w:p w14:paraId="461CC10B" w14:textId="77777777" w:rsidR="00082DD6" w:rsidRPr="008B5F88" w:rsidRDefault="00082DD6" w:rsidP="00082DD6">
      <w:pPr>
        <w:spacing w:line="480" w:lineRule="auto"/>
        <w:ind w:left="360" w:hanging="720"/>
        <w:rPr>
          <w:rFonts w:ascii="Times New Roman" w:hAnsi="Times New Roman" w:cs="Times New Roman"/>
          <w:color w:val="222222"/>
          <w:sz w:val="24"/>
          <w:szCs w:val="24"/>
          <w:shd w:val="clear" w:color="auto" w:fill="FFFFFF"/>
        </w:rPr>
      </w:pPr>
      <w:r w:rsidRPr="008B5F88">
        <w:rPr>
          <w:rFonts w:ascii="Times New Roman" w:hAnsi="Times New Roman" w:cs="Times New Roman"/>
          <w:color w:val="222222"/>
          <w:sz w:val="24"/>
          <w:szCs w:val="24"/>
          <w:shd w:val="clear" w:color="auto" w:fill="FFFFFF"/>
        </w:rPr>
        <w:t>Zeiss, B., Vega, D., Schieferdecker, I., Neukirchen, H., &amp; Grabowski, J. (2007). Applying the ISO 9126 quality model to test specifications–exemplified for TTCN-3 test specifications. </w:t>
      </w:r>
      <w:r w:rsidRPr="008B5F88">
        <w:rPr>
          <w:rFonts w:ascii="Times New Roman" w:hAnsi="Times New Roman" w:cs="Times New Roman"/>
          <w:i/>
          <w:iCs/>
          <w:color w:val="222222"/>
          <w:sz w:val="24"/>
          <w:szCs w:val="24"/>
          <w:shd w:val="clear" w:color="auto" w:fill="FFFFFF"/>
        </w:rPr>
        <w:t>Software Engineering 2007–Fachtagung des GI-Fachbereichs Softwaretechnik</w:t>
      </w:r>
      <w:r w:rsidRPr="008B5F88">
        <w:rPr>
          <w:rFonts w:ascii="Times New Roman" w:hAnsi="Times New Roman" w:cs="Times New Roman"/>
          <w:color w:val="222222"/>
          <w:sz w:val="24"/>
          <w:szCs w:val="24"/>
          <w:shd w:val="clear" w:color="auto" w:fill="FFFFFF"/>
        </w:rPr>
        <w:t>.</w:t>
      </w:r>
    </w:p>
    <w:sectPr w:rsidR="00082DD6" w:rsidRPr="008B5F88" w:rsidSect="007712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392C9" w14:textId="77777777" w:rsidR="001C54BC" w:rsidRDefault="001C54BC">
      <w:pPr>
        <w:spacing w:after="0" w:line="240" w:lineRule="auto"/>
      </w:pPr>
      <w:r>
        <w:separator/>
      </w:r>
    </w:p>
  </w:endnote>
  <w:endnote w:type="continuationSeparator" w:id="0">
    <w:p w14:paraId="5BD069BA" w14:textId="77777777" w:rsidR="001C54BC" w:rsidRDefault="001C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07F94" w14:textId="77777777" w:rsidR="001C54BC" w:rsidRDefault="001C54BC">
      <w:pPr>
        <w:spacing w:after="0" w:line="240" w:lineRule="auto"/>
      </w:pPr>
      <w:r>
        <w:separator/>
      </w:r>
    </w:p>
  </w:footnote>
  <w:footnote w:type="continuationSeparator" w:id="0">
    <w:p w14:paraId="02611D4D" w14:textId="77777777" w:rsidR="001C54BC" w:rsidRDefault="001C5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901795"/>
      <w:docPartObj>
        <w:docPartGallery w:val="Page Numbers (Top of Page)"/>
        <w:docPartUnique/>
      </w:docPartObj>
    </w:sdtPr>
    <w:sdtEndPr>
      <w:rPr>
        <w:noProof/>
      </w:rPr>
    </w:sdtEndPr>
    <w:sdtContent>
      <w:p w14:paraId="253EB59A" w14:textId="5BB87EB5" w:rsidR="00771217" w:rsidRDefault="001C54BC">
        <w:pPr>
          <w:pStyle w:val="Header"/>
          <w:jc w:val="right"/>
        </w:pPr>
        <w:r>
          <w:fldChar w:fldCharType="begin"/>
        </w:r>
        <w:r>
          <w:instrText xml:space="preserve"> PAGE   \* MERGEFORMAT </w:instrText>
        </w:r>
        <w:r>
          <w:fldChar w:fldCharType="separate"/>
        </w:r>
        <w:r w:rsidR="007B6130">
          <w:rPr>
            <w:noProof/>
          </w:rPr>
          <w:t>10</w:t>
        </w:r>
        <w:r>
          <w:rPr>
            <w:noProof/>
          </w:rPr>
          <w:fldChar w:fldCharType="end"/>
        </w:r>
      </w:p>
    </w:sdtContent>
  </w:sdt>
  <w:p w14:paraId="62704D56" w14:textId="327C34B3" w:rsidR="00771217" w:rsidRPr="005B11DF" w:rsidRDefault="005B11DF">
    <w:pPr>
      <w:pStyle w:val="Header"/>
      <w:rPr>
        <w:rFonts w:ascii="Times New Roman" w:hAnsi="Times New Roman" w:cs="Times New Roman"/>
        <w:sz w:val="24"/>
        <w:szCs w:val="24"/>
      </w:rPr>
    </w:pPr>
    <w:r w:rsidRPr="005B11DF">
      <w:rPr>
        <w:rFonts w:ascii="Times New Roman" w:hAnsi="Times New Roman" w:cs="Times New Roman"/>
        <w:sz w:val="24"/>
        <w:szCs w:val="24"/>
      </w:rPr>
      <w:t>ICT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521882"/>
      <w:docPartObj>
        <w:docPartGallery w:val="Page Numbers (Top of Page)"/>
        <w:docPartUnique/>
      </w:docPartObj>
    </w:sdtPr>
    <w:sdtEndPr>
      <w:rPr>
        <w:noProof/>
      </w:rPr>
    </w:sdtEndPr>
    <w:sdtContent>
      <w:p w14:paraId="4C7296B3" w14:textId="0EFAFB2E" w:rsidR="00771217" w:rsidRDefault="001C54BC">
        <w:pPr>
          <w:pStyle w:val="Header"/>
          <w:jc w:val="right"/>
        </w:pPr>
        <w:r>
          <w:fldChar w:fldCharType="begin"/>
        </w:r>
        <w:r>
          <w:instrText xml:space="preserve"> PAGE   \* MERGEFORMAT </w:instrText>
        </w:r>
        <w:r>
          <w:fldChar w:fldCharType="separate"/>
        </w:r>
        <w:r w:rsidR="00D176EC">
          <w:rPr>
            <w:noProof/>
          </w:rPr>
          <w:t>1</w:t>
        </w:r>
        <w:r>
          <w:rPr>
            <w:noProof/>
          </w:rPr>
          <w:fldChar w:fldCharType="end"/>
        </w:r>
      </w:p>
    </w:sdtContent>
  </w:sdt>
  <w:p w14:paraId="18B0165A" w14:textId="4BECBC89" w:rsidR="00771217" w:rsidRPr="005B11DF" w:rsidRDefault="001C54BC">
    <w:pPr>
      <w:pStyle w:val="Header"/>
      <w:rPr>
        <w:rFonts w:ascii="Times New Roman" w:hAnsi="Times New Roman" w:cs="Times New Roman"/>
        <w:sz w:val="24"/>
        <w:szCs w:val="24"/>
      </w:rPr>
    </w:pPr>
    <w:r w:rsidRPr="005B11DF">
      <w:rPr>
        <w:rFonts w:ascii="Times New Roman" w:hAnsi="Times New Roman" w:cs="Times New Roman"/>
        <w:sz w:val="24"/>
        <w:szCs w:val="24"/>
      </w:rPr>
      <w:t>Running head: ICT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B3FB2"/>
    <w:multiLevelType w:val="hybridMultilevel"/>
    <w:tmpl w:val="B96CE8FE"/>
    <w:lvl w:ilvl="0" w:tplc="48625F1E">
      <w:start w:val="1"/>
      <w:numFmt w:val="decimal"/>
      <w:lvlText w:val="%1."/>
      <w:lvlJc w:val="left"/>
      <w:pPr>
        <w:ind w:left="720" w:hanging="360"/>
      </w:pPr>
      <w:rPr>
        <w:rFonts w:hint="default"/>
      </w:rPr>
    </w:lvl>
    <w:lvl w:ilvl="1" w:tplc="6C5448F0" w:tentative="1">
      <w:start w:val="1"/>
      <w:numFmt w:val="lowerLetter"/>
      <w:lvlText w:val="%2."/>
      <w:lvlJc w:val="left"/>
      <w:pPr>
        <w:ind w:left="1440" w:hanging="360"/>
      </w:pPr>
    </w:lvl>
    <w:lvl w:ilvl="2" w:tplc="A7B2F85C" w:tentative="1">
      <w:start w:val="1"/>
      <w:numFmt w:val="lowerRoman"/>
      <w:lvlText w:val="%3."/>
      <w:lvlJc w:val="right"/>
      <w:pPr>
        <w:ind w:left="2160" w:hanging="180"/>
      </w:pPr>
    </w:lvl>
    <w:lvl w:ilvl="3" w:tplc="A0F0C38A" w:tentative="1">
      <w:start w:val="1"/>
      <w:numFmt w:val="decimal"/>
      <w:lvlText w:val="%4."/>
      <w:lvlJc w:val="left"/>
      <w:pPr>
        <w:ind w:left="2880" w:hanging="360"/>
      </w:pPr>
    </w:lvl>
    <w:lvl w:ilvl="4" w:tplc="31E4434C" w:tentative="1">
      <w:start w:val="1"/>
      <w:numFmt w:val="lowerLetter"/>
      <w:lvlText w:val="%5."/>
      <w:lvlJc w:val="left"/>
      <w:pPr>
        <w:ind w:left="3600" w:hanging="360"/>
      </w:pPr>
    </w:lvl>
    <w:lvl w:ilvl="5" w:tplc="0AD25E12" w:tentative="1">
      <w:start w:val="1"/>
      <w:numFmt w:val="lowerRoman"/>
      <w:lvlText w:val="%6."/>
      <w:lvlJc w:val="right"/>
      <w:pPr>
        <w:ind w:left="4320" w:hanging="180"/>
      </w:pPr>
    </w:lvl>
    <w:lvl w:ilvl="6" w:tplc="2D9E4BB4" w:tentative="1">
      <w:start w:val="1"/>
      <w:numFmt w:val="decimal"/>
      <w:lvlText w:val="%7."/>
      <w:lvlJc w:val="left"/>
      <w:pPr>
        <w:ind w:left="5040" w:hanging="360"/>
      </w:pPr>
    </w:lvl>
    <w:lvl w:ilvl="7" w:tplc="ADBA6D84" w:tentative="1">
      <w:start w:val="1"/>
      <w:numFmt w:val="lowerLetter"/>
      <w:lvlText w:val="%8."/>
      <w:lvlJc w:val="left"/>
      <w:pPr>
        <w:ind w:left="5760" w:hanging="360"/>
      </w:pPr>
    </w:lvl>
    <w:lvl w:ilvl="8" w:tplc="B7E8F1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00"/>
    <w:rsid w:val="00082DD6"/>
    <w:rsid w:val="0009548A"/>
    <w:rsid w:val="000D65FB"/>
    <w:rsid w:val="001C54BC"/>
    <w:rsid w:val="001F312C"/>
    <w:rsid w:val="0020305D"/>
    <w:rsid w:val="00215A67"/>
    <w:rsid w:val="002E4744"/>
    <w:rsid w:val="003C756C"/>
    <w:rsid w:val="0056545D"/>
    <w:rsid w:val="005B11DF"/>
    <w:rsid w:val="00624EBE"/>
    <w:rsid w:val="00771217"/>
    <w:rsid w:val="00791F20"/>
    <w:rsid w:val="007B6130"/>
    <w:rsid w:val="007C4724"/>
    <w:rsid w:val="008B5F88"/>
    <w:rsid w:val="00A137A5"/>
    <w:rsid w:val="00C45B00"/>
    <w:rsid w:val="00D176EC"/>
    <w:rsid w:val="00DD10F9"/>
    <w:rsid w:val="00EA45A4"/>
    <w:rsid w:val="00EB305D"/>
    <w:rsid w:val="00ED1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4438"/>
  <w15:chartTrackingRefBased/>
  <w15:docId w15:val="{555666E1-00FC-4FC1-988B-DDB491EB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00"/>
    <w:pPr>
      <w:ind w:left="720"/>
      <w:contextualSpacing/>
    </w:pPr>
  </w:style>
  <w:style w:type="paragraph" w:styleId="Header">
    <w:name w:val="header"/>
    <w:basedOn w:val="Normal"/>
    <w:link w:val="HeaderChar"/>
    <w:uiPriority w:val="99"/>
    <w:unhideWhenUsed/>
    <w:rsid w:val="0077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217"/>
  </w:style>
  <w:style w:type="paragraph" w:styleId="Footer">
    <w:name w:val="footer"/>
    <w:basedOn w:val="Normal"/>
    <w:link w:val="FooterChar"/>
    <w:uiPriority w:val="99"/>
    <w:unhideWhenUsed/>
    <w:rsid w:val="0077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2020-03-22T14:21:00Z</dcterms:created>
  <dcterms:modified xsi:type="dcterms:W3CDTF">2020-03-22T14:21:00Z</dcterms:modified>
</cp:coreProperties>
</file>